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个体工商户民事起诉状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原告: 个体工商户的字号，住所地：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经营者： ，性别，民族，****年**月**日出生，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"https://www.66law.cn/special/hjgg/" \o "户籍"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户籍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地： ，现住址： ，联系方式：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被告：**建设集团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"https://www.66law.cn/special/yxzrgs/" \o "有限责任公司"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有限责任公司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"https://www.66law.cn/tianjin/" \o "天津"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天津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分公司，住所地：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负责人： ，联系方式：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诉讼请求：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1、请求依法判令被告支付原告货款80000元;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2、诉讼费用由被告承担。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事实与理由：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原告系天津市**建材经营部的经营者。被告系房屋建筑工程施工总承包方。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自2013年1月份起，原告开始向被告供应线管及配件等货物，并约定货到之后七日内付款。双方建立了良好的合作关系。然而自2014年3月份起，被告开始拖欠货款，至2014年11月4日止被告累计拖欠货款80000元。原告多次向被告催要货款未果，故成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综上，原告为维护自身合法权益，特依据《中华人民共和国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instrText xml:space="preserve"> HYPERLINK "https://www.66law.cn/tiaoli/12.aspx" \o "民事诉讼法" \t "https://www.66law.cn/lawwrit/_blank"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t>民事诉讼法</w:t>
      </w:r>
      <w:r>
        <w:rPr>
          <w:rFonts w:hint="eastAsia" w:ascii="微软雅黑" w:hAnsi="微软雅黑" w:eastAsia="微软雅黑" w:cs="微软雅黑"/>
          <w:i w:val="0"/>
          <w:caps w:val="0"/>
          <w:color w:val="0A68AE"/>
          <w:spacing w:val="0"/>
          <w:sz w:val="21"/>
          <w:szCs w:val="21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》第一百一十九条之规定，诉至贵院，望判如所请。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此致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天津市**区人民法院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原告：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8681C"/>
    <w:rsid w:val="393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2019-10-25T07:17:00Z</dcterms:created>
  <dc:creator>Liuzhidong</dc:creator>
  <cp:lastModifiedBy>Liuzhidong</cp:lastModifiedBy>
  <dcterms:modified xsi:type="dcterms:W3CDTF">2019-10-25T07:17:22Z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